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INTRODUCCIÓN</w:t>
      </w:r>
    </w:p>
    <w:p w:rsidR="00000000" w:rsidDel="00000000" w:rsidP="00000000" w:rsidRDefault="00000000" w:rsidRPr="00000000" w14:paraId="00000002">
      <w:pPr>
        <w:ind w:firstLine="0"/>
        <w:rPr/>
      </w:pP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A.1 OBJETIVO </w:t>
      </w:r>
    </w:p>
    <w:p w:rsidR="00000000" w:rsidDel="00000000" w:rsidP="00000000" w:rsidRDefault="00000000" w:rsidRPr="00000000" w14:paraId="00000004">
      <w:pPr>
        <w:rPr>
          <w:b w:val="0"/>
          <w:bCs w:val="0"/>
        </w:rPr>
      </w:pPr>
      <w:r w:rsidDel="00000000" w:rsidR="00000000" w:rsidRPr="00000000">
        <w:rPr>
          <w:b w:val="0"/>
          <w:bCs w:val="0"/>
          <w:rtl w:val="0"/>
        </w:rPr>
        <w:t xml:space="preserve">El objetivo de la presente política es establecer un marco de acción a la organización </w:t>
      </w:r>
    </w:p>
    <w:p w:rsidR="00000000" w:rsidDel="00000000" w:rsidP="00000000" w:rsidRDefault="00000000" w:rsidRPr="00000000" w14:paraId="00000005">
      <w:pPr>
        <w:rPr>
          <w:b w:val="0"/>
          <w:bCs w:val="0"/>
        </w:rPr>
      </w:pPr>
      <w:r w:rsidDel="00000000" w:rsidR="00000000" w:rsidRPr="00000000">
        <w:rPr>
          <w:rtl w:val="0"/>
        </w:rPr>
      </w:r>
    </w:p>
    <w:p w:rsidR="00000000" w:rsidDel="00000000" w:rsidP="00000000" w:rsidRDefault="00000000" w:rsidRPr="00000000" w14:paraId="00000006">
      <w:pPr>
        <w:pStyle w:val="Heading3"/>
        <w:rPr/>
      </w:pPr>
      <w:r w:rsidDel="00000000" w:rsidR="00000000" w:rsidRPr="00000000">
        <w:rPr>
          <w:rtl w:val="0"/>
        </w:rPr>
        <w:t xml:space="preserve">A.2 ALCANCE</w:t>
      </w:r>
    </w:p>
    <w:p w:rsidR="00000000" w:rsidDel="00000000" w:rsidP="00000000" w:rsidRDefault="00000000" w:rsidRPr="00000000" w14:paraId="00000007">
      <w:pPr>
        <w:rPr>
          <w:b w:val="0"/>
          <w:bCs w:val="0"/>
        </w:rPr>
      </w:pPr>
      <w:r w:rsidDel="00000000" w:rsidR="00000000" w:rsidRPr="00000000">
        <w:rPr>
          <w:b w:val="0"/>
          <w:bCs w:val="0"/>
          <w:rtl w:val="0"/>
        </w:rPr>
        <w:t xml:space="preserve">La presente política aplica los principios de calidad que la empresa adhiere en todos sus procesos y servicios asociados. </w:t>
      </w:r>
    </w:p>
    <w:p w:rsidR="00000000" w:rsidDel="00000000" w:rsidP="00000000" w:rsidRDefault="00000000" w:rsidRPr="00000000" w14:paraId="00000008">
      <w:pPr>
        <w:rPr>
          <w:b w:val="0"/>
          <w:bCs w:val="0"/>
        </w:rPr>
      </w:pPr>
      <w:r w:rsidDel="00000000" w:rsidR="00000000" w:rsidRPr="00000000">
        <w:rPr>
          <w:rtl w:val="0"/>
        </w:rPr>
      </w:r>
    </w:p>
    <w:p w:rsidR="00000000" w:rsidDel="00000000" w:rsidP="00000000" w:rsidRDefault="00000000" w:rsidRPr="00000000" w14:paraId="00000009">
      <w:pPr>
        <w:pStyle w:val="Heading3"/>
        <w:rPr/>
      </w:pPr>
      <w:r w:rsidDel="00000000" w:rsidR="00000000" w:rsidRPr="00000000">
        <w:rPr>
          <w:rtl w:val="0"/>
        </w:rPr>
        <w:t xml:space="preserve"> A.3 AMBITO DE APLICACIÓN</w:t>
      </w:r>
    </w:p>
    <w:p w:rsidR="00000000" w:rsidDel="00000000" w:rsidP="00000000" w:rsidRDefault="00000000" w:rsidRPr="00000000" w14:paraId="0000000A">
      <w:pPr>
        <w:rPr>
          <w:b w:val="0"/>
          <w:bCs w:val="0"/>
        </w:rPr>
      </w:pPr>
      <w:r w:rsidDel="00000000" w:rsidR="00000000" w:rsidRPr="00000000">
        <w:rPr>
          <w:b w:val="0"/>
          <w:bCs w:val="0"/>
          <w:rtl w:val="0"/>
        </w:rPr>
        <w:t xml:space="preserve">Esta política tiene aplicación a la totalidad de Dispositivos Pavlovsky</w:t>
      </w:r>
    </w:p>
    <w:p w:rsidR="00000000" w:rsidDel="00000000" w:rsidP="00000000" w:rsidRDefault="00000000" w:rsidRPr="00000000" w14:paraId="0000000B">
      <w:pPr>
        <w:rPr>
          <w:b w:val="0"/>
          <w:bCs w:val="0"/>
        </w:rPr>
      </w:pPr>
      <w:r w:rsidDel="00000000" w:rsidR="00000000" w:rsidRPr="00000000">
        <w:rPr>
          <w:rtl w:val="0"/>
        </w:rPr>
      </w:r>
    </w:p>
    <w:p w:rsidR="00000000" w:rsidDel="00000000" w:rsidP="00000000" w:rsidRDefault="00000000" w:rsidRPr="00000000" w14:paraId="0000000C">
      <w:pPr>
        <w:pStyle w:val="Heading3"/>
        <w:rPr/>
      </w:pPr>
      <w:r w:rsidDel="00000000" w:rsidR="00000000" w:rsidRPr="00000000">
        <w:rPr>
          <w:rtl w:val="0"/>
        </w:rPr>
        <w:t xml:space="preserve">A.4 RESPONSABLES DE CUMPLIMIENTO</w:t>
      </w:r>
    </w:p>
    <w:p w:rsidR="00000000" w:rsidDel="00000000" w:rsidP="00000000" w:rsidRDefault="00000000" w:rsidRPr="00000000" w14:paraId="0000000D">
      <w:pPr>
        <w:rPr>
          <w:b w:val="0"/>
          <w:bCs w:val="0"/>
        </w:rPr>
      </w:pPr>
      <w:r w:rsidDel="00000000" w:rsidR="00000000" w:rsidRPr="00000000">
        <w:rPr>
          <w:b w:val="0"/>
          <w:bCs w:val="0"/>
          <w:rtl w:val="0"/>
        </w:rPr>
        <w:t xml:space="preserve">Es responsabilidad de la Gerencia General, velar por el cumplimiento de esta Política</w:t>
      </w:r>
    </w:p>
    <w:p w:rsidR="00000000" w:rsidDel="00000000" w:rsidP="00000000" w:rsidRDefault="00000000" w:rsidRPr="00000000" w14:paraId="0000000E">
      <w:pPr>
        <w:rPr>
          <w:b w:val="0"/>
          <w:bCs w:val="0"/>
        </w:rPr>
      </w:pPr>
      <w:r w:rsidDel="00000000" w:rsidR="00000000" w:rsidRPr="00000000">
        <w:rPr>
          <w:b w:val="0"/>
          <w:bCs w:val="0"/>
          <w:rtl w:val="0"/>
        </w:rPr>
        <w:br w:type="textWrapping"/>
      </w:r>
    </w:p>
    <w:p w:rsidR="00000000" w:rsidDel="00000000" w:rsidP="00000000" w:rsidRDefault="00000000" w:rsidRPr="00000000" w14:paraId="0000000F">
      <w:pPr>
        <w:pStyle w:val="Heading1"/>
        <w:rPr/>
      </w:pPr>
      <w:r w:rsidDel="00000000" w:rsidR="00000000" w:rsidRPr="00000000">
        <w:rPr>
          <w:rtl w:val="0"/>
        </w:rPr>
        <w:t xml:space="preserve">POLÍTICAS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rPr/>
      </w:pPr>
      <w:r w:rsidDel="00000000" w:rsidR="00000000" w:rsidRPr="00000000">
        <w:rPr>
          <w:rtl w:val="0"/>
        </w:rPr>
        <w:t xml:space="preserve">B.1 MISIÓN</w:t>
      </w:r>
    </w:p>
    <w:p w:rsidR="00000000" w:rsidDel="00000000" w:rsidP="00000000" w:rsidRDefault="00000000" w:rsidRPr="00000000" w14:paraId="00000012">
      <w:pPr>
        <w:rPr>
          <w:b w:val="0"/>
          <w:bCs w:val="0"/>
        </w:rPr>
      </w:pPr>
      <w:r w:rsidDel="00000000" w:rsidR="00000000" w:rsidRPr="00000000">
        <w:rPr>
          <w:b w:val="0"/>
          <w:bCs w:val="0"/>
          <w:rtl w:val="0"/>
        </w:rPr>
        <w:t xml:space="preserve">Brindar un tratamiento profesional, basado en evidencia, de calidad, humano e integral a las personas que padece una adicción, incluyendo activamente a sus familias en el proceso terapéutico.</w:t>
      </w:r>
    </w:p>
    <w:p w:rsidR="00000000" w:rsidDel="00000000" w:rsidP="00000000" w:rsidRDefault="00000000" w:rsidRPr="00000000" w14:paraId="00000013">
      <w:pPr>
        <w:rPr>
          <w:b w:val="0"/>
          <w:bCs w:val="0"/>
        </w:rPr>
      </w:pPr>
      <w:r w:rsidDel="00000000" w:rsidR="00000000" w:rsidRPr="00000000">
        <w:rPr>
          <w:rtl w:val="0"/>
        </w:rPr>
      </w:r>
    </w:p>
    <w:p w:rsidR="00000000" w:rsidDel="00000000" w:rsidP="00000000" w:rsidRDefault="00000000" w:rsidRPr="00000000" w14:paraId="00000014">
      <w:pPr>
        <w:pStyle w:val="Heading3"/>
        <w:rPr/>
      </w:pPr>
      <w:r w:rsidDel="00000000" w:rsidR="00000000" w:rsidRPr="00000000">
        <w:rPr>
          <w:rtl w:val="0"/>
        </w:rPr>
        <w:t xml:space="preserve">B.2 VISIÓN</w:t>
      </w:r>
    </w:p>
    <w:p w:rsidR="00000000" w:rsidDel="00000000" w:rsidP="00000000" w:rsidRDefault="00000000" w:rsidRPr="00000000" w14:paraId="00000015">
      <w:pPr>
        <w:rPr>
          <w:b w:val="0"/>
          <w:bCs w:val="0"/>
        </w:rPr>
      </w:pPr>
      <w:r w:rsidDel="00000000" w:rsidR="00000000" w:rsidRPr="00000000">
        <w:rPr>
          <w:b w:val="0"/>
          <w:bCs w:val="0"/>
          <w:rtl w:val="0"/>
        </w:rPr>
        <w:t xml:space="preserve">Consolidarnos como un centro de referencia latinoamericano en el tratamiento ambulatorio de adicciones, con una propuesta basada en la evidencia actual y utilizando herramientas tecnológicas de vanguardia. </w:t>
      </w:r>
    </w:p>
    <w:p w:rsidR="00000000" w:rsidDel="00000000" w:rsidP="00000000" w:rsidRDefault="00000000" w:rsidRPr="00000000" w14:paraId="00000016">
      <w:pPr>
        <w:rPr>
          <w:b w:val="0"/>
          <w:bCs w:val="0"/>
        </w:rPr>
      </w:pPr>
      <w:r w:rsidDel="00000000" w:rsidR="00000000" w:rsidRPr="00000000">
        <w:rPr>
          <w:rtl w:val="0"/>
        </w:rPr>
      </w:r>
    </w:p>
    <w:p w:rsidR="00000000" w:rsidDel="00000000" w:rsidP="00000000" w:rsidRDefault="00000000" w:rsidRPr="00000000" w14:paraId="00000017">
      <w:pPr>
        <w:pStyle w:val="Heading3"/>
        <w:rPr/>
      </w:pPr>
      <w:r w:rsidDel="00000000" w:rsidR="00000000" w:rsidRPr="00000000">
        <w:rPr>
          <w:rtl w:val="0"/>
        </w:rPr>
        <w:t xml:space="preserve">B.3 POLÍTICA</w:t>
      </w:r>
    </w:p>
    <w:p w:rsidR="00000000" w:rsidDel="00000000" w:rsidP="00000000" w:rsidRDefault="00000000" w:rsidRPr="00000000" w14:paraId="00000018">
      <w:pPr>
        <w:rPr>
          <w:b w:val="0"/>
          <w:bCs w:val="0"/>
        </w:rPr>
      </w:pPr>
      <w:r w:rsidDel="00000000" w:rsidR="00000000" w:rsidRPr="00000000">
        <w:rPr>
          <w:b w:val="0"/>
          <w:bCs w:val="0"/>
          <w:rtl w:val="0"/>
        </w:rPr>
        <w:t xml:space="preserve">En Dispositivos Pavlovsky se considera la Calidad de sus proyectos y servicios como su mayor responsabilidad. Conforma un compromiso prioritario en su estrategia y forma parte de los valores fundamentales de su cultura de empresa.  Utiliza la mejora continua como elemento clave para conseguir la excelencia en cada uno de los ámbitos donde se desarrolla.</w:t>
      </w:r>
    </w:p>
    <w:p w:rsidR="00000000" w:rsidDel="00000000" w:rsidP="00000000" w:rsidRDefault="00000000" w:rsidRPr="00000000" w14:paraId="00000019">
      <w:pPr>
        <w:rPr>
          <w:b w:val="0"/>
          <w:bCs w:val="0"/>
        </w:rPr>
      </w:pPr>
      <w:r w:rsidDel="00000000" w:rsidR="00000000" w:rsidRPr="00000000">
        <w:rPr>
          <w:b w:val="0"/>
          <w:bCs w:val="0"/>
          <w:rtl w:val="0"/>
        </w:rPr>
        <w:t xml:space="preserve">Para lo anterior nos comprometemos a:</w:t>
      </w:r>
    </w:p>
    <w:p w:rsidR="00000000" w:rsidDel="00000000" w:rsidP="00000000" w:rsidRDefault="00000000" w:rsidRPr="00000000" w14:paraId="0000001A">
      <w:pPr>
        <w:rPr>
          <w:b w:val="0"/>
          <w:bCs w:val="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Brindar un tratamiento profesional y humano para las personas con consumos problemáticos y adicciones.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211"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Establecer una sistematización de los procesos de admisión y tratamiento e incorporar herramientas de vanguardia para mejorar la eficacia.</w:t>
      </w:r>
    </w:p>
    <w:p w:rsidR="00000000" w:rsidDel="00000000" w:rsidP="00000000" w:rsidRDefault="00000000" w:rsidRPr="00000000" w14:paraId="0000001E">
      <w:pPr>
        <w:ind w:left="0" w:firstLine="0"/>
        <w:rPr>
          <w:b w:val="0"/>
          <w:bCs w:val="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Capacitación continua del equipo profesional y cuidado de la salud mental de los integrantes de este.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211"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Obtener de parte de los usuarios y sus familias feedbacks respecto a la experiencia terapéutica.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211"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Desarrollar un tratamiento con evidencia científica, desarrollar líneas de investigación, publicación en medios especializados y establecer un área de docencia y formación específica para colegas.</w:t>
      </w:r>
    </w:p>
    <w:p w:rsidR="00000000" w:rsidDel="00000000" w:rsidP="00000000" w:rsidRDefault="00000000" w:rsidRPr="00000000" w14:paraId="00000025">
      <w:pPr>
        <w:ind w:left="0" w:firstLine="0"/>
        <w:rPr>
          <w:b w:val="0"/>
          <w:bCs w:val="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Convertirnos en un actor social que pueda brindar a la sociedad información con evidencia y realizar tareas de divulgación.</w:t>
      </w:r>
    </w:p>
    <w:p w:rsidR="00000000" w:rsidDel="00000000" w:rsidP="00000000" w:rsidRDefault="00000000" w:rsidRPr="00000000" w14:paraId="00000027">
      <w:pPr>
        <w:ind w:left="0" w:firstLine="0"/>
        <w:rPr>
          <w:b w:val="0"/>
          <w:bCs w:val="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1211"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Colaborar y apoyar en una tarea de responsabilidad social para iniciativas que trabajen con consumos problemáticos en sectores de vulnerabilidad social.</w:t>
      </w:r>
    </w:p>
    <w:p w:rsidR="00000000" w:rsidDel="00000000" w:rsidP="00000000" w:rsidRDefault="00000000" w:rsidRPr="00000000" w14:paraId="00000029">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865" w:top="1331" w:left="1696" w:right="1702" w:header="569"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font w:name="Georgia"/>
  <w:font w:name="Quattrocento Sans"/>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0" w:line="259" w:lineRule="auto"/>
      <w:ind w:left="0" w:right="5" w:firstLine="0"/>
      <w:jc w:val="right"/>
      <w:rPr/>
    </w:pPr>
    <w:r w:rsidDel="00000000" w:rsidR="00000000" w:rsidRPr="00000000">
      <w:rPr>
        <w:rFonts w:ascii="Cambria" w:cs="Cambria" w:eastAsia="Cambria" w:hAnsi="Cambria"/>
        <w:b w:val="0"/>
        <w:bCs w:val="0"/>
        <w:sz w:val="24"/>
        <w:szCs w:val="24"/>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mbria" w:cs="Cambria" w:eastAsia="Cambria" w:hAnsi="Cambria"/>
        <w:b w:val="0"/>
        <w:bCs w:val="0"/>
        <w:sz w:val="24"/>
        <w:szCs w:val="2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0" w:line="259" w:lineRule="auto"/>
      <w:ind w:left="0" w:right="5" w:firstLine="0"/>
      <w:jc w:val="right"/>
      <w:rPr/>
    </w:pPr>
    <w:r w:rsidDel="00000000" w:rsidR="00000000" w:rsidRPr="00000000">
      <w:rPr>
        <w:rFonts w:ascii="Cambria" w:cs="Cambria" w:eastAsia="Cambria" w:hAnsi="Cambria"/>
        <w:b w:val="0"/>
        <w:bCs w:val="0"/>
        <w:sz w:val="24"/>
        <w:szCs w:val="24"/>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mbria" w:cs="Cambria" w:eastAsia="Cambria" w:hAnsi="Cambria"/>
        <w:b w:val="0"/>
        <w:bCs w:val="0"/>
        <w:sz w:val="24"/>
        <w:szCs w:val="2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0" w:line="259" w:lineRule="auto"/>
      <w:ind w:left="0" w:right="5" w:firstLine="0"/>
      <w:jc w:val="right"/>
      <w:rPr/>
    </w:pPr>
    <w:r w:rsidDel="00000000" w:rsidR="00000000" w:rsidRPr="00000000">
      <w:rPr>
        <w:rFonts w:ascii="Cambria" w:cs="Cambria" w:eastAsia="Cambria" w:hAnsi="Cambria"/>
        <w:b w:val="0"/>
        <w:bCs w:val="0"/>
        <w:sz w:val="24"/>
        <w:szCs w:val="24"/>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mbria" w:cs="Cambria" w:eastAsia="Cambria" w:hAnsi="Cambria"/>
        <w:b w:val="0"/>
        <w:bCs w:val="0"/>
        <w:sz w:val="24"/>
        <w:szCs w:val="24"/>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pPr w:leftFromText="0" w:rightFromText="0" w:topFromText="0" w:bottomFromText="0" w:vertAnchor="page" w:horzAnchor="page" w:tblpX="1695" w:tblpY="576"/>
      <w:tblW w:w="8762.0" w:type="dxa"/>
      <w:jc w:val="left"/>
      <w:tblLayout w:type="fixed"/>
      <w:tblLook w:val="0400"/>
    </w:tblPr>
    <w:tblGrid>
      <w:gridCol w:w="2581"/>
      <w:gridCol w:w="3224"/>
      <w:gridCol w:w="1411"/>
      <w:gridCol w:w="1546"/>
      <w:tblGridChange w:id="0">
        <w:tblGrid>
          <w:gridCol w:w="2581"/>
          <w:gridCol w:w="3224"/>
          <w:gridCol w:w="1411"/>
          <w:gridCol w:w="1546"/>
        </w:tblGrid>
      </w:tblGridChange>
    </w:tblGrid>
    <w:tr>
      <w:trPr>
        <w:cantSplit w:val="0"/>
        <w:trHeight w:val="283" w:hRule="atLeast"/>
        <w:tblHeader w:val="0"/>
      </w:trPr>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2B">
          <w:pPr>
            <w:spacing w:after="0" w:line="259" w:lineRule="auto"/>
            <w:ind w:left="0" w:right="-21" w:firstLine="0"/>
            <w:rPr/>
          </w:pPr>
          <w:r w:rsidDel="00000000" w:rsidR="00000000" w:rsidRPr="00000000">
            <w:rPr>
              <w:b w:val="0"/>
              <w:bCs w:val="0"/>
              <w:sz w:val="24"/>
              <w:szCs w:val="24"/>
              <w:rtl w:val="0"/>
            </w:rPr>
            <w:t xml:space="preserve"> </w:t>
          </w:r>
          <w:r w:rsidDel="00000000" w:rsidR="00000000" w:rsidRPr="00000000">
            <w:rPr/>
            <w:drawing>
              <wp:inline distB="0" distT="0" distL="0" distR="0">
                <wp:extent cx="1552575" cy="5905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52575" cy="590550"/>
                        </a:xfrm>
                        <a:prstGeom prst="rect"/>
                        <a:ln/>
                      </pic:spPr>
                    </pic:pic>
                  </a:graphicData>
                </a:graphic>
              </wp:inline>
            </w:drawing>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after="0" w:line="259" w:lineRule="auto"/>
            <w:ind w:left="0" w:right="98" w:firstLine="0"/>
            <w:jc w:val="center"/>
            <w:rPr/>
          </w:pPr>
          <w:r w:rsidDel="00000000" w:rsidR="00000000" w:rsidRPr="00000000">
            <w:rPr>
              <w:rtl w:val="0"/>
            </w:rPr>
            <w:t xml:space="preserve">FORMATO</w:t>
          </w:r>
          <w:r w:rsidDel="00000000" w:rsidR="00000000" w:rsidRPr="00000000">
            <w:rPr>
              <w:b w:val="0"/>
              <w:bCs w:val="0"/>
              <w:rtl w:val="0"/>
            </w:rPr>
            <w:t xml:space="preserve"> </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after="0" w:line="259" w:lineRule="auto"/>
            <w:ind w:left="118" w:firstLine="0"/>
            <w:jc w:val="left"/>
            <w:rPr/>
          </w:pPr>
          <w:r w:rsidDel="00000000" w:rsidR="00000000" w:rsidRPr="00000000">
            <w:rPr>
              <w:rtl w:val="0"/>
            </w:rPr>
            <w:t xml:space="preserve">Uso Interno</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after="0" w:line="259" w:lineRule="auto"/>
            <w:ind w:left="175" w:firstLine="0"/>
            <w:jc w:val="left"/>
            <w:rPr/>
          </w:pPr>
          <w:r w:rsidDel="00000000" w:rsidR="00000000" w:rsidRPr="00000000">
            <w:rPr>
              <w:rtl w:val="0"/>
            </w:rPr>
            <w:t xml:space="preserve">CHS-FT-620</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r>
    <w:tr>
      <w:trPr>
        <w:cantSplit w:val="0"/>
        <w:trHeight w:val="713" w:hRule="atLeast"/>
        <w:tblHeader w:val="0"/>
      </w:trPr>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spacing w:after="0" w:line="259" w:lineRule="auto"/>
            <w:ind w:left="156" w:firstLine="0"/>
            <w:jc w:val="left"/>
            <w:rPr/>
          </w:pPr>
          <w:r w:rsidDel="00000000" w:rsidR="00000000" w:rsidRPr="00000000">
            <w:rPr>
              <w:rtl w:val="0"/>
            </w:rPr>
            <w:t xml:space="preserve">Encuesta Escalas de Medición de Calidad de </w:t>
          </w:r>
        </w:p>
        <w:p w:rsidR="00000000" w:rsidDel="00000000" w:rsidP="00000000" w:rsidRDefault="00000000" w:rsidRPr="00000000" w14:paraId="00000031">
          <w:pPr>
            <w:spacing w:after="0" w:line="259" w:lineRule="auto"/>
            <w:ind w:left="0" w:right="48" w:firstLine="0"/>
            <w:jc w:val="center"/>
            <w:rPr/>
          </w:pPr>
          <w:r w:rsidDel="00000000" w:rsidR="00000000" w:rsidRPr="00000000">
            <w:rPr>
              <w:rtl w:val="0"/>
            </w:rPr>
            <w:t xml:space="preserve">Vida</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spacing w:after="0" w:line="259" w:lineRule="auto"/>
            <w:ind w:left="0" w:right="40" w:firstLine="0"/>
            <w:jc w:val="center"/>
            <w:rPr/>
          </w:pPr>
          <w:r w:rsidDel="00000000" w:rsidR="00000000" w:rsidRPr="00000000">
            <w:rPr>
              <w:sz w:val="24"/>
              <w:szCs w:val="24"/>
              <w:rtl w:val="0"/>
            </w:rPr>
            <w:t xml:space="preserve">001</w:t>
          </w:r>
          <w:r w:rsidDel="00000000" w:rsidR="00000000" w:rsidRPr="00000000">
            <w:rPr>
              <w:rFonts w:ascii="Quattrocento Sans" w:cs="Quattrocento Sans" w:eastAsia="Quattrocento Sans" w:hAnsi="Quattrocento Sans"/>
              <w:sz w:val="24"/>
              <w:szCs w:val="24"/>
              <w:vertAlign w:val="subscript"/>
              <w:rtl w:val="0"/>
            </w:rPr>
            <w:t xml:space="preserve"> </w:t>
          </w:r>
          <w:r w:rsidDel="00000000" w:rsidR="00000000" w:rsidRPr="00000000">
            <w:rPr>
              <w:rtl w:val="0"/>
            </w:rPr>
          </w:r>
        </w:p>
      </w:tc>
    </w:tr>
  </w:tbl>
  <w:p w:rsidR="00000000" w:rsidDel="00000000" w:rsidP="00000000" w:rsidRDefault="00000000" w:rsidRPr="00000000" w14:paraId="00000034">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0" w:rightFromText="0" w:topFromText="0" w:bottomFromText="0" w:vertAnchor="page" w:horzAnchor="page" w:tblpX="1545" w:tblpY="576"/>
      <w:tblW w:w="9348.0" w:type="dxa"/>
      <w:jc w:val="left"/>
      <w:tblLayout w:type="fixed"/>
      <w:tblLook w:val="0400"/>
    </w:tblPr>
    <w:tblGrid>
      <w:gridCol w:w="2544"/>
      <w:gridCol w:w="2835"/>
      <w:gridCol w:w="1843"/>
      <w:gridCol w:w="2126"/>
      <w:tblGridChange w:id="0">
        <w:tblGrid>
          <w:gridCol w:w="2544"/>
          <w:gridCol w:w="2835"/>
          <w:gridCol w:w="1843"/>
          <w:gridCol w:w="2126"/>
        </w:tblGrid>
      </w:tblGridChange>
    </w:tblGrid>
    <w:tr>
      <w:trPr>
        <w:cantSplit w:val="0"/>
        <w:trHeight w:val="545" w:hRule="atLeast"/>
        <w:tblHeader w:val="0"/>
      </w:trPr>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36">
          <w:pPr>
            <w:spacing w:after="0" w:line="259" w:lineRule="auto"/>
            <w:ind w:left="0" w:right="-21" w:firstLine="0"/>
            <w:rPr/>
          </w:pPr>
          <w:r w:rsidDel="00000000" w:rsidR="00000000" w:rsidRPr="00000000">
            <w:rPr>
              <w:b w:val="0"/>
              <w:bCs w:val="0"/>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82551</wp:posOffset>
                </wp:positionH>
                <wp:positionV relativeFrom="paragraph">
                  <wp:posOffset>-375284</wp:posOffset>
                </wp:positionV>
                <wp:extent cx="1530985" cy="5784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0985" cy="578485"/>
                        </a:xfrm>
                        <a:prstGeom prst="rect"/>
                        <a:ln/>
                      </pic:spPr>
                    </pic:pic>
                  </a:graphicData>
                </a:graphic>
              </wp:anchor>
            </w:drawing>
          </w:r>
        </w:p>
        <w:p w:rsidR="00000000" w:rsidDel="00000000" w:rsidP="00000000" w:rsidRDefault="00000000" w:rsidRPr="00000000" w14:paraId="00000037">
          <w:pPr>
            <w:spacing w:after="0" w:line="259" w:lineRule="auto"/>
            <w:ind w:left="0" w:right="-21" w:firstLine="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0" w:line="259" w:lineRule="auto"/>
            <w:ind w:left="0" w:right="98" w:firstLine="0"/>
            <w:jc w:val="center"/>
            <w:rPr/>
          </w:pPr>
          <w:r w:rsidDel="00000000" w:rsidR="00000000" w:rsidRPr="00000000">
            <w:rPr>
              <w:rtl w:val="0"/>
            </w:rPr>
            <w:t xml:space="preserve">GESTION DOCUMENTAL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after="0" w:line="259" w:lineRule="auto"/>
            <w:ind w:left="118" w:firstLine="0"/>
            <w:jc w:val="center"/>
            <w:rPr/>
          </w:pPr>
          <w:r w:rsidDel="00000000" w:rsidR="00000000" w:rsidRPr="00000000">
            <w:rPr>
              <w:rtl w:val="0"/>
            </w:rPr>
            <w:t xml:space="preserve">Uso Externo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0" w:line="259" w:lineRule="auto"/>
            <w:ind w:left="175" w:firstLine="0"/>
            <w:jc w:val="center"/>
            <w:rPr/>
          </w:pPr>
          <w:r w:rsidDel="00000000" w:rsidR="00000000" w:rsidRPr="00000000">
            <w:rPr>
              <w:rtl w:val="0"/>
            </w:rPr>
            <w:t xml:space="preserve">DP-DOC-PC-</w:t>
          </w:r>
        </w:p>
        <w:p w:rsidR="00000000" w:rsidDel="00000000" w:rsidP="00000000" w:rsidRDefault="00000000" w:rsidRPr="00000000" w14:paraId="0000003B">
          <w:pPr>
            <w:spacing w:after="0" w:line="259" w:lineRule="auto"/>
            <w:ind w:left="175" w:firstLine="0"/>
            <w:jc w:val="center"/>
            <w:rPr/>
          </w:pPr>
          <w:r w:rsidDel="00000000" w:rsidR="00000000" w:rsidRPr="00000000">
            <w:rPr>
              <w:rtl w:val="0"/>
            </w:rPr>
            <w:t xml:space="preserve">V2026</w:t>
          </w:r>
        </w:p>
      </w:tc>
    </w:tr>
    <w:tr>
      <w:trPr>
        <w:cantSplit w:val="0"/>
        <w:trHeight w:val="648" w:hRule="atLeast"/>
        <w:tblHeader w:val="0"/>
      </w:trPr>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0" w:line="259" w:lineRule="auto"/>
            <w:jc w:val="center"/>
            <w:rPr/>
          </w:pPr>
          <w:r w:rsidDel="00000000" w:rsidR="00000000" w:rsidRPr="00000000">
            <w:rPr>
              <w:rtl w:val="0"/>
            </w:rPr>
            <w:t xml:space="preserve">Política de Calidad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after="0" w:line="259" w:lineRule="auto"/>
            <w:ind w:left="0" w:right="40" w:firstLine="0"/>
            <w:jc w:val="center"/>
            <w:rPr/>
          </w:pPr>
          <w:r w:rsidDel="00000000" w:rsidR="00000000" w:rsidRPr="00000000">
            <w:rPr>
              <w:sz w:val="24"/>
              <w:szCs w:val="24"/>
              <w:rtl w:val="0"/>
            </w:rPr>
            <w:t xml:space="preserve">001</w:t>
          </w:r>
          <w:r w:rsidDel="00000000" w:rsidR="00000000" w:rsidRPr="00000000">
            <w:rPr>
              <w:rFonts w:ascii="Quattrocento Sans" w:cs="Quattrocento Sans" w:eastAsia="Quattrocento Sans" w:hAnsi="Quattrocento Sans"/>
              <w:sz w:val="24"/>
              <w:szCs w:val="24"/>
              <w:vertAlign w:val="subscript"/>
              <w:rtl w:val="0"/>
            </w:rPr>
            <w:t xml:space="preserve"> </w:t>
          </w:r>
          <w:r w:rsidDel="00000000" w:rsidR="00000000" w:rsidRPr="00000000">
            <w:rPr>
              <w:rtl w:val="0"/>
            </w:rPr>
          </w:r>
        </w:p>
      </w:tc>
    </w:tr>
  </w:tbl>
  <w:p w:rsidR="00000000" w:rsidDel="00000000" w:rsidP="00000000" w:rsidRDefault="00000000" w:rsidRPr="00000000" w14:paraId="00000040">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pPr w:leftFromText="0" w:rightFromText="0" w:topFromText="0" w:bottomFromText="0" w:vertAnchor="page" w:horzAnchor="page" w:tblpX="1695" w:tblpY="576"/>
      <w:tblW w:w="8762.0" w:type="dxa"/>
      <w:jc w:val="left"/>
      <w:tblLayout w:type="fixed"/>
      <w:tblLook w:val="0400"/>
    </w:tblPr>
    <w:tblGrid>
      <w:gridCol w:w="2581"/>
      <w:gridCol w:w="3224"/>
      <w:gridCol w:w="1411"/>
      <w:gridCol w:w="1546"/>
      <w:tblGridChange w:id="0">
        <w:tblGrid>
          <w:gridCol w:w="2581"/>
          <w:gridCol w:w="3224"/>
          <w:gridCol w:w="1411"/>
          <w:gridCol w:w="1546"/>
        </w:tblGrid>
      </w:tblGridChange>
    </w:tblGrid>
    <w:tr>
      <w:trPr>
        <w:cantSplit w:val="0"/>
        <w:trHeight w:val="283" w:hRule="atLeast"/>
        <w:tblHeader w:val="0"/>
      </w:trPr>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42">
          <w:pPr>
            <w:spacing w:after="0" w:line="259" w:lineRule="auto"/>
            <w:ind w:left="0" w:right="-21" w:firstLine="0"/>
            <w:rPr/>
          </w:pPr>
          <w:r w:rsidDel="00000000" w:rsidR="00000000" w:rsidRPr="00000000">
            <w:rPr>
              <w:b w:val="0"/>
              <w:bCs w:val="0"/>
              <w:sz w:val="24"/>
              <w:szCs w:val="24"/>
              <w:rtl w:val="0"/>
            </w:rPr>
            <w:t xml:space="preserve"> </w:t>
          </w:r>
          <w:r w:rsidDel="00000000" w:rsidR="00000000" w:rsidRPr="00000000">
            <w:rPr/>
            <w:drawing>
              <wp:inline distB="0" distT="0" distL="0" distR="0">
                <wp:extent cx="1552575" cy="59055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52575" cy="590550"/>
                        </a:xfrm>
                        <a:prstGeom prst="rect"/>
                        <a:ln/>
                      </pic:spPr>
                    </pic:pic>
                  </a:graphicData>
                </a:graphic>
              </wp:inline>
            </w:drawing>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after="0" w:line="259" w:lineRule="auto"/>
            <w:ind w:left="0" w:right="98" w:firstLine="0"/>
            <w:jc w:val="center"/>
            <w:rPr/>
          </w:pPr>
          <w:r w:rsidDel="00000000" w:rsidR="00000000" w:rsidRPr="00000000">
            <w:rPr>
              <w:rtl w:val="0"/>
            </w:rPr>
            <w:t xml:space="preserve">FORMATO</w:t>
          </w:r>
          <w:r w:rsidDel="00000000" w:rsidR="00000000" w:rsidRPr="00000000">
            <w:rPr>
              <w:b w:val="0"/>
              <w:bCs w:val="0"/>
              <w:rtl w:val="0"/>
            </w:rPr>
            <w:t xml:space="preserve"> </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after="0" w:line="259" w:lineRule="auto"/>
            <w:ind w:left="118" w:firstLine="0"/>
            <w:jc w:val="left"/>
            <w:rPr/>
          </w:pPr>
          <w:r w:rsidDel="00000000" w:rsidR="00000000" w:rsidRPr="00000000">
            <w:rPr>
              <w:rtl w:val="0"/>
            </w:rPr>
            <w:t xml:space="preserve">Uso Interno</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after="0" w:line="259" w:lineRule="auto"/>
            <w:ind w:left="175" w:firstLine="0"/>
            <w:jc w:val="left"/>
            <w:rPr/>
          </w:pPr>
          <w:r w:rsidDel="00000000" w:rsidR="00000000" w:rsidRPr="00000000">
            <w:rPr>
              <w:rtl w:val="0"/>
            </w:rPr>
            <w:t xml:space="preserve">CHS-FT-620</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r>
    <w:tr>
      <w:trPr>
        <w:cantSplit w:val="0"/>
        <w:trHeight w:val="713" w:hRule="atLeast"/>
        <w:tblHeader w:val="0"/>
      </w:trPr>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0" w:line="259" w:lineRule="auto"/>
            <w:ind w:left="156" w:firstLine="0"/>
            <w:jc w:val="left"/>
            <w:rPr/>
          </w:pPr>
          <w:r w:rsidDel="00000000" w:rsidR="00000000" w:rsidRPr="00000000">
            <w:rPr>
              <w:rtl w:val="0"/>
            </w:rPr>
            <w:t xml:space="preserve">Encuesta Escalas de Medición de Calidad de </w:t>
          </w:r>
        </w:p>
        <w:p w:rsidR="00000000" w:rsidDel="00000000" w:rsidP="00000000" w:rsidRDefault="00000000" w:rsidRPr="00000000" w14:paraId="00000048">
          <w:pPr>
            <w:spacing w:after="0" w:line="259" w:lineRule="auto"/>
            <w:ind w:left="0" w:right="48" w:firstLine="0"/>
            <w:jc w:val="center"/>
            <w:rPr/>
          </w:pPr>
          <w:r w:rsidDel="00000000" w:rsidR="00000000" w:rsidRPr="00000000">
            <w:rPr>
              <w:rtl w:val="0"/>
            </w:rPr>
            <w:t xml:space="preserve">Vida</w:t>
          </w:r>
          <w:r w:rsidDel="00000000" w:rsidR="00000000" w:rsidRPr="00000000">
            <w:rPr>
              <w:rFonts w:ascii="Quattrocento Sans" w:cs="Quattrocento Sans" w:eastAsia="Quattrocento Sans" w:hAnsi="Quattrocento Sans"/>
              <w:b w:val="0"/>
              <w:bCs w:val="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spacing w:after="0" w:line="259" w:lineRule="auto"/>
            <w:ind w:left="0" w:right="40" w:firstLine="0"/>
            <w:jc w:val="center"/>
            <w:rPr/>
          </w:pPr>
          <w:r w:rsidDel="00000000" w:rsidR="00000000" w:rsidRPr="00000000">
            <w:rPr>
              <w:sz w:val="24"/>
              <w:szCs w:val="24"/>
              <w:rtl w:val="0"/>
            </w:rPr>
            <w:t xml:space="preserve">001</w:t>
          </w:r>
          <w:r w:rsidDel="00000000" w:rsidR="00000000" w:rsidRPr="00000000">
            <w:rPr>
              <w:rFonts w:ascii="Quattrocento Sans" w:cs="Quattrocento Sans" w:eastAsia="Quattrocento Sans" w:hAnsi="Quattrocento Sans"/>
              <w:sz w:val="24"/>
              <w:szCs w:val="24"/>
              <w:vertAlign w:val="subscript"/>
              <w:rtl w:val="0"/>
            </w:rPr>
            <w:t xml:space="preserve"> </w:t>
          </w:r>
          <w:r w:rsidDel="00000000" w:rsidR="00000000" w:rsidRPr="00000000">
            <w:rPr>
              <w:rtl w:val="0"/>
            </w:rPr>
          </w:r>
        </w:p>
      </w:tc>
    </w:tr>
  </w:tbl>
  <w:p w:rsidR="00000000" w:rsidDel="00000000" w:rsidP="00000000" w:rsidRDefault="00000000" w:rsidRPr="00000000" w14:paraId="0000004B">
    <w:pPr>
      <w:spacing w:after="0" w:line="259" w:lineRule="auto"/>
      <w:ind w:left="0" w:firstLine="0"/>
      <w:jc w:val="left"/>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1"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lang w:val="es-CO"/>
      </w:rPr>
    </w:rPrDefault>
    <w:pPrDefault>
      <w:pPr>
        <w:spacing w:after="4" w:line="249" w:lineRule="auto"/>
        <w:ind w:left="37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Play" w:cs="Play" w:eastAsia="Play" w:hAnsi="Play"/>
      <w:color w:val="0f4761"/>
      <w:sz w:val="32"/>
      <w:szCs w:val="32"/>
    </w:rPr>
  </w:style>
  <w:style w:type="paragraph" w:styleId="Heading2">
    <w:name w:val="heading 2"/>
    <w:basedOn w:val="Normal"/>
    <w:next w:val="Normal"/>
    <w:pPr>
      <w:keepNext w:val="1"/>
      <w:keepLines w:val="1"/>
      <w:spacing w:after="0" w:before="40" w:lineRule="auto"/>
    </w:pPr>
    <w:rPr>
      <w:rFonts w:ascii="Play" w:cs="Play" w:eastAsia="Play" w:hAnsi="Play"/>
      <w:color w:val="0f4761"/>
      <w:sz w:val="26"/>
      <w:szCs w:val="26"/>
    </w:rPr>
  </w:style>
  <w:style w:type="paragraph" w:styleId="Heading3">
    <w:name w:val="heading 3"/>
    <w:basedOn w:val="Normal"/>
    <w:next w:val="Normal"/>
    <w:pPr>
      <w:keepNext w:val="1"/>
      <w:keepLines w:val="1"/>
      <w:spacing w:after="0" w:before="40" w:lineRule="auto"/>
    </w:pPr>
    <w:rPr>
      <w:rFonts w:ascii="Play" w:cs="Play" w:eastAsia="Play" w:hAnsi="Play"/>
      <w:color w:val="0a2f40"/>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7.0" w:type="dxa"/>
        <w:left w:w="24.0" w:type="dxa"/>
        <w:bottom w:w="9.0" w:type="dxa"/>
        <w:right w:w="0.0" w:type="dxa"/>
      </w:tblCellMar>
    </w:tblPr>
  </w:style>
  <w:style w:type="table" w:styleId="Table2">
    <w:basedOn w:val="TableNormal"/>
    <w:pPr>
      <w:spacing w:after="0" w:line="240" w:lineRule="auto"/>
    </w:pPr>
    <w:tblPr>
      <w:tblStyleRowBandSize w:val="1"/>
      <w:tblStyleColBandSize w:val="1"/>
      <w:tblCellMar>
        <w:top w:w="7.0" w:type="dxa"/>
        <w:left w:w="24.0" w:type="dxa"/>
        <w:bottom w:w="9.0" w:type="dxa"/>
        <w:right w:w="0.0" w:type="dxa"/>
      </w:tblCellMar>
    </w:tblPr>
  </w:style>
  <w:style w:type="table" w:styleId="Table3">
    <w:basedOn w:val="TableNormal"/>
    <w:pPr>
      <w:spacing w:after="0" w:line="240" w:lineRule="auto"/>
    </w:pPr>
    <w:tblPr>
      <w:tblStyleRowBandSize w:val="1"/>
      <w:tblStyleColBandSize w:val="1"/>
      <w:tblCellMar>
        <w:top w:w="7.0" w:type="dxa"/>
        <w:left w:w="24.0" w:type="dxa"/>
        <w:bottom w:w="9.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